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42C18" w14:textId="391C9624" w:rsidR="00871B2A" w:rsidRPr="00B07920" w:rsidRDefault="00871B2A" w:rsidP="00871B2A">
      <w:pPr>
        <w:pStyle w:val="3GPPHeader"/>
      </w:pPr>
      <w:r w:rsidRPr="00327997">
        <w:t xml:space="preserve">3GPP TSG-RAN </w:t>
      </w:r>
      <w:r w:rsidRPr="00B07920">
        <w:t>WG1 #8</w:t>
      </w:r>
      <w:r>
        <w:t>7</w:t>
      </w:r>
      <w:r w:rsidRPr="00B07920">
        <w:tab/>
        <w:t>R1-16</w:t>
      </w:r>
      <w:r w:rsidR="00951B81">
        <w:t>12317</w:t>
      </w:r>
    </w:p>
    <w:p w14:paraId="1A6C765A" w14:textId="77777777" w:rsidR="00871B2A" w:rsidRPr="00B07920" w:rsidRDefault="00871B2A" w:rsidP="00871B2A">
      <w:pPr>
        <w:pStyle w:val="3GPPHeader"/>
      </w:pPr>
      <w:r>
        <w:t>Reno</w:t>
      </w:r>
      <w:r w:rsidRPr="00B07920">
        <w:t>,</w:t>
      </w:r>
      <w:r>
        <w:t xml:space="preserve"> USA,</w:t>
      </w:r>
      <w:r w:rsidRPr="00B07920">
        <w:t xml:space="preserve"> </w:t>
      </w:r>
      <w:r>
        <w:t>November</w:t>
      </w:r>
      <w:r w:rsidRPr="00B07920">
        <w:t xml:space="preserve"> </w:t>
      </w:r>
      <w:r>
        <w:t>14</w:t>
      </w:r>
      <w:r w:rsidRPr="00B07920">
        <w:t xml:space="preserve"> – 1</w:t>
      </w:r>
      <w:r>
        <w:t>8</w:t>
      </w:r>
      <w:r w:rsidRPr="00B07920">
        <w:t>, 2016</w:t>
      </w:r>
    </w:p>
    <w:p w14:paraId="49F65BD1" w14:textId="77777777" w:rsidR="00E90E49" w:rsidRPr="00A4214F" w:rsidRDefault="00E90E49" w:rsidP="00357380">
      <w:pPr>
        <w:pStyle w:val="3GPPHeader"/>
      </w:pPr>
    </w:p>
    <w:p w14:paraId="0B2D2D95" w14:textId="77777777" w:rsidR="00E90E49" w:rsidRPr="00A4214F" w:rsidRDefault="003D3C45" w:rsidP="00327997">
      <w:pPr>
        <w:pStyle w:val="3GPPHeader"/>
      </w:pPr>
      <w:r w:rsidRPr="00A4214F">
        <w:t>Source:</w:t>
      </w:r>
      <w:r w:rsidR="00E90E49" w:rsidRPr="00A4214F">
        <w:tab/>
      </w:r>
      <w:r w:rsidR="00F64C2B" w:rsidRPr="00A4214F">
        <w:t>Ericsson</w:t>
      </w:r>
    </w:p>
    <w:p w14:paraId="5F3A59A2" w14:textId="77777777" w:rsidR="00E90E49" w:rsidRPr="00A4214F" w:rsidRDefault="003D3C45" w:rsidP="00327997">
      <w:pPr>
        <w:pStyle w:val="3GPPHeader"/>
      </w:pPr>
      <w:r w:rsidRPr="00A4214F">
        <w:t>Title:</w:t>
      </w:r>
      <w:r w:rsidR="00E90E49" w:rsidRPr="00A4214F">
        <w:tab/>
      </w:r>
      <w:r w:rsidR="00012B62" w:rsidRPr="00A4214F">
        <w:t xml:space="preserve">On </w:t>
      </w:r>
      <w:r w:rsidR="003E7385" w:rsidRPr="00A4214F">
        <w:t xml:space="preserve">NR </w:t>
      </w:r>
      <w:r w:rsidR="00012B62" w:rsidRPr="00A4214F">
        <w:t>MIMO below 6 GHz</w:t>
      </w:r>
    </w:p>
    <w:p w14:paraId="5C8D9802" w14:textId="439D99F9" w:rsidR="00952A24" w:rsidRPr="00327997" w:rsidRDefault="00952A24" w:rsidP="00327997">
      <w:pPr>
        <w:pStyle w:val="3GPPHeader"/>
      </w:pPr>
      <w:r w:rsidRPr="00A4214F">
        <w:t>Agenda Item:</w:t>
      </w:r>
      <w:r w:rsidRPr="00A4214F">
        <w:tab/>
      </w:r>
      <w:r w:rsidR="007F4AD6">
        <w:t>7.1.3</w:t>
      </w:r>
    </w:p>
    <w:p w14:paraId="3F0D5DB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ED213C4" w14:textId="77777777" w:rsidR="00E90E49" w:rsidRPr="00CE0424" w:rsidRDefault="007F75D5" w:rsidP="00CE0424">
      <w:pPr>
        <w:pStyle w:val="Heading1"/>
      </w:pPr>
      <w:r>
        <w:t>Introduction</w:t>
      </w:r>
    </w:p>
    <w:p w14:paraId="5C4D4CEC" w14:textId="77777777" w:rsidR="00477768" w:rsidRPr="00CE0424" w:rsidRDefault="00012B62" w:rsidP="00BF7642">
      <w:pPr>
        <w:pStyle w:val="BodyText"/>
      </w:pPr>
      <w:r>
        <w:t xml:space="preserve">In this contribution we discuss multiple antenna </w:t>
      </w:r>
      <w:r w:rsidR="00962036">
        <w:t>operation aspects for NR</w:t>
      </w:r>
      <w:r>
        <w:t xml:space="preserve"> at lower carrier frequencies</w:t>
      </w:r>
      <w:r w:rsidR="00962036">
        <w:t>, below 6 GHz</w:t>
      </w:r>
      <w:r>
        <w:t xml:space="preserve">. </w:t>
      </w:r>
    </w:p>
    <w:p w14:paraId="1C8CEA5B" w14:textId="77777777" w:rsidR="004000E8" w:rsidRDefault="009E57FD" w:rsidP="00CE0424">
      <w:pPr>
        <w:pStyle w:val="Heading1"/>
      </w:pPr>
      <w:r>
        <w:t>Discussion</w:t>
      </w:r>
    </w:p>
    <w:p w14:paraId="650758C2" w14:textId="77777777" w:rsidR="00012B62" w:rsidRDefault="00012B62" w:rsidP="003A0E41">
      <w:pPr>
        <w:rPr>
          <w:lang w:val="en-US"/>
        </w:rPr>
      </w:pPr>
      <w:r>
        <w:rPr>
          <w:lang w:val="en-US"/>
        </w:rPr>
        <w:t xml:space="preserve">Below 6 GHz, the whole or part of 3.4-4.2 GHz frequency range is a potential (globally) band for NR deployments. Additionally, the 4.8-4.99 GHz frequency band is being considered in Asia.  </w:t>
      </w:r>
    </w:p>
    <w:p w14:paraId="65E4F10D" w14:textId="6D08E56D" w:rsidR="003A0E41" w:rsidRDefault="00012B62" w:rsidP="003A0E41">
      <w:pPr>
        <w:rPr>
          <w:lang w:val="en-US"/>
        </w:rPr>
      </w:pPr>
      <w:r>
        <w:rPr>
          <w:lang w:val="en-US"/>
        </w:rPr>
        <w:t xml:space="preserve">The current regulatory framework [1], states that 3.4-3.6 GHz can be used for either FDD or TDD while 3.6 – 3.8 GHz </w:t>
      </w:r>
      <w:r w:rsidR="000215E0">
        <w:rPr>
          <w:lang w:val="en-US"/>
        </w:rPr>
        <w:t xml:space="preserve">is </w:t>
      </w:r>
      <w:r>
        <w:rPr>
          <w:lang w:val="en-US"/>
        </w:rPr>
        <w:t>only for TDD.</w:t>
      </w:r>
    </w:p>
    <w:p w14:paraId="1B00731D" w14:textId="77777777" w:rsidR="00012B62" w:rsidRPr="00ED5DD8" w:rsidRDefault="00ED5DD8" w:rsidP="00ED5DD8">
      <w:pPr>
        <w:pStyle w:val="Observation"/>
      </w:pPr>
      <w:r>
        <w:rPr>
          <w:lang w:val="en-US"/>
        </w:rPr>
        <w:t>Some of the s</w:t>
      </w:r>
      <w:r w:rsidR="00012B62">
        <w:rPr>
          <w:lang w:val="en-US"/>
        </w:rPr>
        <w:t xml:space="preserve">pectrum </w:t>
      </w:r>
      <w:r>
        <w:rPr>
          <w:lang w:val="en-US"/>
        </w:rPr>
        <w:t xml:space="preserve">for NR below 6 GHz can be used </w:t>
      </w:r>
      <w:r w:rsidR="008B6EDD">
        <w:rPr>
          <w:lang w:val="en-US"/>
        </w:rPr>
        <w:t>for</w:t>
      </w:r>
      <w:r>
        <w:rPr>
          <w:lang w:val="en-US"/>
        </w:rPr>
        <w:t xml:space="preserve"> FDD </w:t>
      </w:r>
      <w:r w:rsidR="008B6EDD">
        <w:rPr>
          <w:lang w:val="en-US"/>
        </w:rPr>
        <w:t>as well as</w:t>
      </w:r>
      <w:r>
        <w:rPr>
          <w:lang w:val="en-US"/>
        </w:rPr>
        <w:t xml:space="preserve"> TDD</w:t>
      </w:r>
    </w:p>
    <w:p w14:paraId="7B4CEEE2" w14:textId="77777777" w:rsidR="008B6EDD" w:rsidRDefault="00ED5DD8" w:rsidP="00ED5DD8">
      <w:pPr>
        <w:pStyle w:val="Observation"/>
        <w:numPr>
          <w:ilvl w:val="0"/>
          <w:numId w:val="0"/>
        </w:numPr>
        <w:tabs>
          <w:tab w:val="clear" w:pos="1701"/>
          <w:tab w:val="left" w:pos="0"/>
        </w:tabs>
        <w:rPr>
          <w:b w:val="0"/>
          <w:lang w:val="en-US"/>
        </w:rPr>
      </w:pPr>
      <w:r>
        <w:rPr>
          <w:b w:val="0"/>
          <w:lang w:val="en-US"/>
        </w:rPr>
        <w:t xml:space="preserve">This observation implies that NR MIMO must be prepared to perform well in both FDD and TDD deployments. This insight is of importance for multi-antenna features, since MIMO performance heavily depends on the knowledge of channel at the transmitter side, for high performance. </w:t>
      </w:r>
      <w:r w:rsidR="008B6EDD">
        <w:rPr>
          <w:b w:val="0"/>
          <w:lang w:val="en-US"/>
        </w:rPr>
        <w:t xml:space="preserve">For FDD, the utilization of channel reciprocity does not bring the same benefits as for TDD due to the duplex distance. </w:t>
      </w:r>
    </w:p>
    <w:p w14:paraId="51753BA7" w14:textId="77777777" w:rsidR="006B297F" w:rsidRDefault="006B297F" w:rsidP="00ED5DD8">
      <w:pPr>
        <w:pStyle w:val="Observation"/>
        <w:numPr>
          <w:ilvl w:val="0"/>
          <w:numId w:val="0"/>
        </w:numPr>
        <w:tabs>
          <w:tab w:val="clear" w:pos="1701"/>
          <w:tab w:val="left" w:pos="0"/>
        </w:tabs>
        <w:rPr>
          <w:b w:val="0"/>
          <w:lang w:val="en-US"/>
        </w:rPr>
      </w:pPr>
      <w:r>
        <w:rPr>
          <w:b w:val="0"/>
          <w:lang w:val="en-US"/>
        </w:rPr>
        <w:t xml:space="preserve">For frequencies below 6 GHz, is it likely that the implementation is all-digital, hence there is full freedom to control the phase of each antenna subarray in the antenna. This allows for very advanced, channel dependent precoding, which can improve the performance of MU-MIMO significantly. However, it relies on adequate channel knowledge at the transmitter. </w:t>
      </w:r>
    </w:p>
    <w:p w14:paraId="197E50B5" w14:textId="77777777" w:rsidR="006B297F" w:rsidRPr="006B297F" w:rsidRDefault="006B297F" w:rsidP="006B297F">
      <w:pPr>
        <w:pStyle w:val="Observation"/>
      </w:pPr>
      <w:r w:rsidRPr="006B297F">
        <w:t>MIMO operation below 6 GHz likely use a “digital” implementation need and allows for advanced channel dependent precoding using a massive number of antennas</w:t>
      </w:r>
    </w:p>
    <w:p w14:paraId="5B189232" w14:textId="6EFCE2BB" w:rsidR="000215E0" w:rsidRDefault="006B297F" w:rsidP="00ED5DD8">
      <w:pPr>
        <w:pStyle w:val="Observation"/>
        <w:numPr>
          <w:ilvl w:val="0"/>
          <w:numId w:val="0"/>
        </w:numPr>
        <w:tabs>
          <w:tab w:val="clear" w:pos="1701"/>
          <w:tab w:val="left" w:pos="0"/>
        </w:tabs>
        <w:rPr>
          <w:b w:val="0"/>
          <w:lang w:val="en-US"/>
        </w:rPr>
      </w:pPr>
      <w:r>
        <w:rPr>
          <w:b w:val="0"/>
          <w:lang w:val="en-US"/>
        </w:rPr>
        <w:t xml:space="preserve">For FDD and for the cases the channel reciprocity cannot be utilized in TDD (simplified calibration, partial channel reciprocity, lack of UL in some TDD carriers </w:t>
      </w:r>
      <w:r w:rsidR="0039234D">
        <w:rPr>
          <w:b w:val="0"/>
          <w:lang w:val="en-US"/>
        </w:rPr>
        <w:t>etc.</w:t>
      </w:r>
      <w:r>
        <w:rPr>
          <w:b w:val="0"/>
          <w:lang w:val="en-US"/>
        </w:rPr>
        <w:t xml:space="preserve">), closed loop operation is needed. </w:t>
      </w:r>
      <w:r w:rsidR="004E5305">
        <w:rPr>
          <w:b w:val="0"/>
          <w:lang w:val="en-US"/>
        </w:rPr>
        <w:t xml:space="preserve">Additionally, using reciprocity requires dense UL SRS transmissions leading to large overhead to serve a large number of UEs. </w:t>
      </w:r>
    </w:p>
    <w:p w14:paraId="58AD5C62" w14:textId="77777777" w:rsidR="004E5305" w:rsidRDefault="00962036" w:rsidP="00ED5DD8">
      <w:pPr>
        <w:pStyle w:val="Observation"/>
        <w:numPr>
          <w:ilvl w:val="0"/>
          <w:numId w:val="0"/>
        </w:numPr>
        <w:tabs>
          <w:tab w:val="clear" w:pos="1701"/>
          <w:tab w:val="left" w:pos="0"/>
        </w:tabs>
        <w:rPr>
          <w:b w:val="0"/>
          <w:lang w:val="en-US"/>
        </w:rPr>
      </w:pPr>
      <w:r>
        <w:rPr>
          <w:b w:val="0"/>
          <w:lang w:val="en-US"/>
        </w:rPr>
        <w:t>At frequencies below 6 GHz, with an all-digital antenna array and a massive number of steerable antenna elements, there are then three typical approaches for CSI acquisition:</w:t>
      </w:r>
    </w:p>
    <w:p w14:paraId="0DBDFBBD" w14:textId="77777777" w:rsidR="00962036" w:rsidRDefault="00962036" w:rsidP="00962036">
      <w:pPr>
        <w:pStyle w:val="Observation"/>
        <w:numPr>
          <w:ilvl w:val="0"/>
          <w:numId w:val="17"/>
        </w:numPr>
        <w:tabs>
          <w:tab w:val="clear" w:pos="1701"/>
          <w:tab w:val="left" w:pos="0"/>
        </w:tabs>
        <w:rPr>
          <w:b w:val="0"/>
          <w:lang w:val="en-US"/>
        </w:rPr>
      </w:pPr>
      <w:r>
        <w:rPr>
          <w:b w:val="0"/>
          <w:lang w:val="en-US"/>
        </w:rPr>
        <w:t>Non-precoded CSI-RS</w:t>
      </w:r>
    </w:p>
    <w:p w14:paraId="4C6F36DC" w14:textId="3B59D5B0" w:rsidR="00962036" w:rsidRDefault="00962036" w:rsidP="00962036">
      <w:pPr>
        <w:pStyle w:val="Observation"/>
        <w:numPr>
          <w:ilvl w:val="1"/>
          <w:numId w:val="17"/>
        </w:numPr>
        <w:tabs>
          <w:tab w:val="clear" w:pos="1701"/>
          <w:tab w:val="left" w:pos="0"/>
        </w:tabs>
        <w:rPr>
          <w:b w:val="0"/>
          <w:lang w:val="en-US"/>
        </w:rPr>
      </w:pPr>
      <w:r>
        <w:rPr>
          <w:b w:val="0"/>
          <w:lang w:val="en-US"/>
        </w:rPr>
        <w:t>Efficient for a few to a larger number of</w:t>
      </w:r>
      <w:r w:rsidR="00A91C05">
        <w:rPr>
          <w:b w:val="0"/>
          <w:lang w:val="en-US"/>
        </w:rPr>
        <w:t xml:space="preserve"> BS antennas </w:t>
      </w:r>
    </w:p>
    <w:p w14:paraId="61986E69" w14:textId="1DF220C6" w:rsidR="00962036" w:rsidRDefault="00962036" w:rsidP="00962036">
      <w:pPr>
        <w:pStyle w:val="Observation"/>
        <w:numPr>
          <w:ilvl w:val="1"/>
          <w:numId w:val="17"/>
        </w:numPr>
        <w:tabs>
          <w:tab w:val="clear" w:pos="1701"/>
          <w:tab w:val="left" w:pos="0"/>
        </w:tabs>
        <w:rPr>
          <w:b w:val="0"/>
          <w:lang w:val="en-US"/>
        </w:rPr>
      </w:pPr>
      <w:r>
        <w:rPr>
          <w:b w:val="0"/>
          <w:lang w:val="en-US"/>
        </w:rPr>
        <w:t>Very efficient for a massive number of UEs</w:t>
      </w:r>
      <w:r w:rsidR="0039234D">
        <w:rPr>
          <w:b w:val="0"/>
          <w:lang w:val="en-US"/>
        </w:rPr>
        <w:t xml:space="preserve">, also in the case of </w:t>
      </w:r>
      <w:r w:rsidR="00A91C05">
        <w:rPr>
          <w:b w:val="0"/>
          <w:lang w:val="en-US"/>
        </w:rPr>
        <w:t>a large number of BS antennas</w:t>
      </w:r>
    </w:p>
    <w:p w14:paraId="2FD09FD7" w14:textId="77777777" w:rsidR="00962036" w:rsidRDefault="00962036" w:rsidP="00962036">
      <w:pPr>
        <w:pStyle w:val="Observation"/>
        <w:numPr>
          <w:ilvl w:val="1"/>
          <w:numId w:val="17"/>
        </w:numPr>
        <w:tabs>
          <w:tab w:val="clear" w:pos="1701"/>
          <w:tab w:val="left" w:pos="0"/>
        </w:tabs>
        <w:rPr>
          <w:b w:val="0"/>
          <w:lang w:val="en-US"/>
        </w:rPr>
      </w:pPr>
      <w:r>
        <w:rPr>
          <w:b w:val="0"/>
          <w:lang w:val="en-US"/>
        </w:rPr>
        <w:t>FDD and TDD</w:t>
      </w:r>
    </w:p>
    <w:p w14:paraId="7190D1F2" w14:textId="77777777" w:rsidR="00962036" w:rsidRDefault="00962036" w:rsidP="00962036">
      <w:pPr>
        <w:pStyle w:val="Observation"/>
        <w:numPr>
          <w:ilvl w:val="0"/>
          <w:numId w:val="17"/>
        </w:numPr>
        <w:tabs>
          <w:tab w:val="clear" w:pos="1701"/>
          <w:tab w:val="left" w:pos="0"/>
        </w:tabs>
        <w:rPr>
          <w:b w:val="0"/>
          <w:lang w:val="en-US"/>
        </w:rPr>
      </w:pPr>
      <w:r>
        <w:rPr>
          <w:b w:val="0"/>
          <w:lang w:val="en-US"/>
        </w:rPr>
        <w:t>Precoded CSI-RS</w:t>
      </w:r>
    </w:p>
    <w:p w14:paraId="57CA5007" w14:textId="21D4FCE7" w:rsidR="00470DF6" w:rsidRPr="00A91C05" w:rsidRDefault="00470DF6" w:rsidP="00A91C05">
      <w:pPr>
        <w:pStyle w:val="Observation"/>
        <w:numPr>
          <w:ilvl w:val="1"/>
          <w:numId w:val="17"/>
        </w:numPr>
        <w:tabs>
          <w:tab w:val="clear" w:pos="1701"/>
          <w:tab w:val="left" w:pos="0"/>
        </w:tabs>
        <w:rPr>
          <w:b w:val="0"/>
          <w:lang w:val="en-US"/>
        </w:rPr>
      </w:pPr>
      <w:r w:rsidRPr="00A91C05">
        <w:rPr>
          <w:b w:val="0"/>
          <w:lang w:val="en-US"/>
        </w:rPr>
        <w:t>Arbitrary antenna layouts</w:t>
      </w:r>
      <w:r w:rsidR="006E470B" w:rsidRPr="00A91C05">
        <w:rPr>
          <w:b w:val="0"/>
          <w:lang w:val="en-US"/>
        </w:rPr>
        <w:t xml:space="preserve"> and number of TRXUs</w:t>
      </w:r>
    </w:p>
    <w:p w14:paraId="02D3DD26" w14:textId="25CC2C28" w:rsidR="00A91C05" w:rsidRPr="00A91C05" w:rsidRDefault="006E470B" w:rsidP="00A91C05">
      <w:pPr>
        <w:pStyle w:val="Observation"/>
        <w:numPr>
          <w:ilvl w:val="1"/>
          <w:numId w:val="17"/>
        </w:numPr>
        <w:tabs>
          <w:tab w:val="clear" w:pos="1701"/>
          <w:tab w:val="left" w:pos="0"/>
        </w:tabs>
        <w:rPr>
          <w:b w:val="0"/>
          <w:lang w:val="en-US"/>
        </w:rPr>
      </w:pPr>
      <w:r w:rsidRPr="00A91C05">
        <w:rPr>
          <w:b w:val="0"/>
          <w:lang w:val="en-US"/>
        </w:rPr>
        <w:t>Overhead proportional to the number of UEs</w:t>
      </w:r>
    </w:p>
    <w:p w14:paraId="09ABA00D" w14:textId="61D50633" w:rsidR="00470DF6" w:rsidRDefault="00962036" w:rsidP="00962036">
      <w:pPr>
        <w:pStyle w:val="Observation"/>
        <w:numPr>
          <w:ilvl w:val="1"/>
          <w:numId w:val="17"/>
        </w:numPr>
        <w:tabs>
          <w:tab w:val="clear" w:pos="1701"/>
          <w:tab w:val="left" w:pos="0"/>
        </w:tabs>
        <w:rPr>
          <w:b w:val="0"/>
          <w:lang w:val="en-US"/>
        </w:rPr>
      </w:pPr>
      <w:r>
        <w:rPr>
          <w:b w:val="0"/>
          <w:lang w:val="en-US"/>
        </w:rPr>
        <w:t>FDD and TDD</w:t>
      </w:r>
    </w:p>
    <w:p w14:paraId="37EAB34A" w14:textId="77777777" w:rsidR="00962036" w:rsidRDefault="00962036" w:rsidP="00962036">
      <w:pPr>
        <w:pStyle w:val="Observation"/>
        <w:numPr>
          <w:ilvl w:val="0"/>
          <w:numId w:val="17"/>
        </w:numPr>
        <w:tabs>
          <w:tab w:val="clear" w:pos="1701"/>
          <w:tab w:val="left" w:pos="0"/>
        </w:tabs>
        <w:rPr>
          <w:b w:val="0"/>
          <w:lang w:val="en-US"/>
        </w:rPr>
      </w:pPr>
      <w:r>
        <w:rPr>
          <w:b w:val="0"/>
          <w:lang w:val="en-US"/>
        </w:rPr>
        <w:t xml:space="preserve">Reciprocity based </w:t>
      </w:r>
    </w:p>
    <w:p w14:paraId="78B505CC" w14:textId="77777777" w:rsidR="00A91C05" w:rsidRDefault="00962036" w:rsidP="00962036">
      <w:pPr>
        <w:pStyle w:val="Observation"/>
        <w:numPr>
          <w:ilvl w:val="1"/>
          <w:numId w:val="17"/>
        </w:numPr>
        <w:tabs>
          <w:tab w:val="clear" w:pos="1701"/>
          <w:tab w:val="left" w:pos="0"/>
        </w:tabs>
        <w:rPr>
          <w:b w:val="0"/>
          <w:lang w:val="en-US"/>
        </w:rPr>
      </w:pPr>
      <w:r>
        <w:rPr>
          <w:b w:val="0"/>
          <w:lang w:val="en-US"/>
        </w:rPr>
        <w:t xml:space="preserve">For a </w:t>
      </w:r>
      <w:r w:rsidR="00A91C05">
        <w:rPr>
          <w:b w:val="0"/>
          <w:lang w:val="en-US"/>
        </w:rPr>
        <w:t xml:space="preserve">large number of BS antennas </w:t>
      </w:r>
    </w:p>
    <w:p w14:paraId="0C0428B1" w14:textId="341A36B1" w:rsidR="006E470B" w:rsidRPr="00A91C05" w:rsidRDefault="00A91C05" w:rsidP="00A91C05">
      <w:pPr>
        <w:pStyle w:val="Observation"/>
        <w:numPr>
          <w:ilvl w:val="1"/>
          <w:numId w:val="17"/>
        </w:numPr>
        <w:tabs>
          <w:tab w:val="clear" w:pos="1701"/>
          <w:tab w:val="left" w:pos="0"/>
        </w:tabs>
        <w:rPr>
          <w:b w:val="0"/>
          <w:lang w:val="en-US"/>
        </w:rPr>
      </w:pPr>
      <w:r w:rsidRPr="00A91C05">
        <w:rPr>
          <w:b w:val="0"/>
          <w:lang w:val="en-US"/>
        </w:rPr>
        <w:t xml:space="preserve">For </w:t>
      </w:r>
      <w:r>
        <w:rPr>
          <w:b w:val="0"/>
          <w:lang w:val="en-US"/>
        </w:rPr>
        <w:t xml:space="preserve"> simultaneously scheduled UEs (MU-MIMO)</w:t>
      </w:r>
      <w:r w:rsidR="006E470B" w:rsidRPr="00A91C05">
        <w:rPr>
          <w:b w:val="0"/>
          <w:lang w:val="en-US"/>
        </w:rPr>
        <w:t>Overhead proportional to the number of UEs</w:t>
      </w:r>
    </w:p>
    <w:p w14:paraId="6DE1D425" w14:textId="77777777" w:rsidR="00962036" w:rsidRDefault="00962036" w:rsidP="00962036">
      <w:pPr>
        <w:pStyle w:val="Observation"/>
        <w:numPr>
          <w:ilvl w:val="1"/>
          <w:numId w:val="17"/>
        </w:numPr>
        <w:tabs>
          <w:tab w:val="clear" w:pos="1701"/>
          <w:tab w:val="left" w:pos="0"/>
        </w:tabs>
        <w:rPr>
          <w:b w:val="0"/>
          <w:lang w:val="en-US"/>
        </w:rPr>
      </w:pPr>
      <w:r>
        <w:rPr>
          <w:b w:val="0"/>
          <w:lang w:val="en-US"/>
        </w:rPr>
        <w:lastRenderedPageBreak/>
        <w:t>TDD (instantaneous) and FDD (long term)</w:t>
      </w:r>
    </w:p>
    <w:p w14:paraId="0B947905" w14:textId="6CB101F5" w:rsidR="00962036" w:rsidRDefault="00962036" w:rsidP="00ED5DD8">
      <w:pPr>
        <w:pStyle w:val="Observation"/>
        <w:numPr>
          <w:ilvl w:val="0"/>
          <w:numId w:val="0"/>
        </w:numPr>
        <w:tabs>
          <w:tab w:val="clear" w:pos="1701"/>
          <w:tab w:val="left" w:pos="0"/>
        </w:tabs>
        <w:rPr>
          <w:b w:val="0"/>
          <w:lang w:val="en-US"/>
        </w:rPr>
      </w:pPr>
      <w:r>
        <w:rPr>
          <w:b w:val="0"/>
          <w:lang w:val="en-US"/>
        </w:rPr>
        <w:t xml:space="preserve">These three methods </w:t>
      </w:r>
      <w:r w:rsidRPr="00871B2A">
        <w:rPr>
          <w:lang w:val="en-US"/>
        </w:rPr>
        <w:t>are complementary</w:t>
      </w:r>
      <w:r>
        <w:rPr>
          <w:b w:val="0"/>
          <w:lang w:val="en-US"/>
        </w:rPr>
        <w:t xml:space="preserve"> and depends not only on the size of the antenna at the BS but also on the actual </w:t>
      </w:r>
      <w:r w:rsidR="0039234D">
        <w:rPr>
          <w:b w:val="0"/>
          <w:lang w:val="en-US"/>
        </w:rPr>
        <w:t>traffic as well as the number of UE antennas</w:t>
      </w:r>
      <w:r>
        <w:rPr>
          <w:b w:val="0"/>
          <w:lang w:val="en-US"/>
        </w:rPr>
        <w:t xml:space="preserve">. It is notable that they all can be used in FDD as well as TDD. The CSI-RS based methods can further be divided into “normal” and “advanced”, where advanced CSI feedback methods would benefit MU-MIMO performance the most but for many TXRUs, also SU-MIMO would benefit as the beamwidth becomes smaller than the angular spread of the channel. </w:t>
      </w:r>
    </w:p>
    <w:p w14:paraId="45E53DAC" w14:textId="52C04A27" w:rsidR="0039234D" w:rsidRDefault="0039234D" w:rsidP="00ED5DD8">
      <w:pPr>
        <w:pStyle w:val="Observation"/>
        <w:numPr>
          <w:ilvl w:val="0"/>
          <w:numId w:val="0"/>
        </w:numPr>
        <w:tabs>
          <w:tab w:val="clear" w:pos="1701"/>
          <w:tab w:val="left" w:pos="0"/>
        </w:tabs>
        <w:rPr>
          <w:b w:val="0"/>
          <w:lang w:val="en-US"/>
        </w:rPr>
      </w:pPr>
      <w:r>
        <w:rPr>
          <w:b w:val="0"/>
          <w:lang w:val="en-US"/>
        </w:rPr>
        <w:t xml:space="preserve">Finally, we note that the three methods above are not just complementary, they also enable powerful techniques by being combined. This can form hybrid schemes where for instance non-precoded CSI-RS is combined with precoded CSI-RS in FDD/TDD in order to exploit the long term statistics of the channels. Another example would be to combine reciprocity based CSI and precoded CSI-RS; it is here emphasized that such a scheme would be applicable also in the case of instantaneous FDD, hence the shortcomings of a pure reciprocity based scheme </w:t>
      </w:r>
      <w:r w:rsidR="003B2CE6">
        <w:rPr>
          <w:b w:val="0"/>
          <w:lang w:val="en-US"/>
        </w:rPr>
        <w:t>in</w:t>
      </w:r>
      <w:r>
        <w:rPr>
          <w:b w:val="0"/>
          <w:lang w:val="en-US"/>
        </w:rPr>
        <w:t xml:space="preserve"> FDD could, at least in part, be compensated for by obtaining CSI utilizing precoded CSI-RS. </w:t>
      </w:r>
    </w:p>
    <w:p w14:paraId="59F365BE" w14:textId="5474F444" w:rsidR="00655AC3" w:rsidRDefault="004772F2" w:rsidP="00ED5DD8">
      <w:pPr>
        <w:pStyle w:val="Observation"/>
        <w:numPr>
          <w:ilvl w:val="0"/>
          <w:numId w:val="0"/>
        </w:numPr>
        <w:tabs>
          <w:tab w:val="clear" w:pos="1701"/>
          <w:tab w:val="left" w:pos="0"/>
        </w:tabs>
        <w:rPr>
          <w:b w:val="0"/>
          <w:lang w:val="en-US"/>
        </w:rPr>
      </w:pPr>
      <w:r>
        <w:rPr>
          <w:b w:val="0"/>
          <w:lang w:val="en-US"/>
        </w:rPr>
        <w:t xml:space="preserve">We thus propose the following, to be </w:t>
      </w:r>
      <w:r w:rsidR="00871B2A">
        <w:rPr>
          <w:b w:val="0"/>
          <w:lang w:val="en-US"/>
        </w:rPr>
        <w:t>supported in the NR</w:t>
      </w:r>
      <w:r>
        <w:rPr>
          <w:b w:val="0"/>
          <w:lang w:val="en-US"/>
        </w:rPr>
        <w:t xml:space="preserve"> CSI </w:t>
      </w:r>
      <w:r w:rsidR="00951B81">
        <w:rPr>
          <w:b w:val="0"/>
          <w:lang w:val="en-US"/>
        </w:rPr>
        <w:t xml:space="preserve">Type I </w:t>
      </w:r>
      <w:r>
        <w:rPr>
          <w:b w:val="0"/>
          <w:lang w:val="en-US"/>
        </w:rPr>
        <w:t>framework</w:t>
      </w:r>
      <w:r w:rsidR="00871B2A">
        <w:rPr>
          <w:b w:val="0"/>
          <w:lang w:val="en-US"/>
        </w:rPr>
        <w:t xml:space="preserve"> with intended operation below 6 GHz</w:t>
      </w:r>
      <w:r>
        <w:rPr>
          <w:b w:val="0"/>
          <w:lang w:val="en-US"/>
        </w:rPr>
        <w:t>:</w:t>
      </w:r>
    </w:p>
    <w:p w14:paraId="5AB30DC8" w14:textId="790032A4" w:rsidR="00871B2A" w:rsidRDefault="00871B2A" w:rsidP="004E5305">
      <w:pPr>
        <w:pStyle w:val="Proposal"/>
        <w:rPr>
          <w:lang w:val="en-US"/>
        </w:rPr>
      </w:pPr>
      <w:bookmarkStart w:id="0" w:name="_Toc465238379"/>
      <w:bookmarkStart w:id="1" w:name="_Toc462944404"/>
      <w:bookmarkStart w:id="2" w:name="_Toc463035707"/>
      <w:bookmarkStart w:id="3" w:name="_Toc466013152"/>
      <w:r>
        <w:rPr>
          <w:lang w:val="en-US"/>
        </w:rPr>
        <w:t>NR supports the following MIMO operation</w:t>
      </w:r>
      <w:bookmarkEnd w:id="0"/>
      <w:r w:rsidR="00951B81">
        <w:rPr>
          <w:lang w:val="en-US"/>
        </w:rPr>
        <w:t xml:space="preserve"> under Type I CSI feedback</w:t>
      </w:r>
      <w:bookmarkEnd w:id="3"/>
    </w:p>
    <w:p w14:paraId="559C3F69" w14:textId="77777777" w:rsidR="00871B2A" w:rsidRDefault="00962036" w:rsidP="00871B2A">
      <w:pPr>
        <w:pStyle w:val="Proposal"/>
        <w:numPr>
          <w:ilvl w:val="1"/>
          <w:numId w:val="3"/>
        </w:numPr>
        <w:rPr>
          <w:lang w:val="en-US"/>
        </w:rPr>
      </w:pPr>
      <w:bookmarkStart w:id="4" w:name="_Toc465238380"/>
      <w:bookmarkStart w:id="5" w:name="_Toc466013153"/>
      <w:r>
        <w:rPr>
          <w:lang w:val="en-US"/>
        </w:rPr>
        <w:t>non precoded CSI-RS</w:t>
      </w:r>
      <w:r w:rsidR="00871B2A">
        <w:rPr>
          <w:lang w:val="en-US"/>
        </w:rPr>
        <w:t xml:space="preserve"> with the associated PMI codebooks for</w:t>
      </w:r>
      <w:r w:rsidR="00A91C05">
        <w:rPr>
          <w:lang w:val="en-US"/>
        </w:rPr>
        <w:t xml:space="preserve"> up to at least 32 ports</w:t>
      </w:r>
      <w:bookmarkEnd w:id="4"/>
      <w:bookmarkEnd w:id="5"/>
    </w:p>
    <w:p w14:paraId="19044FB7" w14:textId="0E342FAD" w:rsidR="00871B2A" w:rsidRDefault="004E5305" w:rsidP="00871B2A">
      <w:pPr>
        <w:pStyle w:val="Proposal"/>
        <w:numPr>
          <w:ilvl w:val="1"/>
          <w:numId w:val="3"/>
        </w:numPr>
        <w:rPr>
          <w:lang w:val="en-US"/>
        </w:rPr>
      </w:pPr>
      <w:bookmarkStart w:id="6" w:name="_Toc465238381"/>
      <w:bookmarkStart w:id="7" w:name="_Toc466013154"/>
      <w:r>
        <w:rPr>
          <w:lang w:val="en-US"/>
        </w:rPr>
        <w:t xml:space="preserve">beamformed CSI-RS </w:t>
      </w:r>
      <w:r w:rsidR="00871B2A">
        <w:rPr>
          <w:lang w:val="en-US"/>
        </w:rPr>
        <w:t xml:space="preserve"> with the associated PMI codebooks for FFS ports per beam</w:t>
      </w:r>
      <w:bookmarkEnd w:id="6"/>
      <w:bookmarkEnd w:id="7"/>
    </w:p>
    <w:p w14:paraId="69931B50" w14:textId="1B5B4F77" w:rsidR="004E5305" w:rsidRDefault="00962036" w:rsidP="00871B2A">
      <w:pPr>
        <w:pStyle w:val="Proposal"/>
        <w:numPr>
          <w:ilvl w:val="1"/>
          <w:numId w:val="3"/>
        </w:numPr>
        <w:rPr>
          <w:lang w:val="en-US"/>
        </w:rPr>
      </w:pPr>
      <w:bookmarkStart w:id="8" w:name="_Toc465238382"/>
      <w:bookmarkStart w:id="9" w:name="_Toc466013155"/>
      <w:r>
        <w:rPr>
          <w:lang w:val="en-US"/>
        </w:rPr>
        <w:t xml:space="preserve">reciprocity based CSI acquisition </w:t>
      </w:r>
      <w:r w:rsidR="00871B2A">
        <w:rPr>
          <w:lang w:val="en-US"/>
        </w:rPr>
        <w:t>operation</w:t>
      </w:r>
      <w:r w:rsidR="004E5305">
        <w:rPr>
          <w:lang w:val="en-US"/>
        </w:rPr>
        <w:t xml:space="preserve"> in NR</w:t>
      </w:r>
      <w:bookmarkEnd w:id="1"/>
      <w:bookmarkEnd w:id="2"/>
      <w:bookmarkEnd w:id="8"/>
      <w:bookmarkEnd w:id="9"/>
    </w:p>
    <w:p w14:paraId="4B8BBE7A" w14:textId="444DA1E8" w:rsidR="008B6EDD" w:rsidRDefault="008B6EDD" w:rsidP="00ED5DD8">
      <w:pPr>
        <w:pStyle w:val="Observation"/>
        <w:numPr>
          <w:ilvl w:val="0"/>
          <w:numId w:val="0"/>
        </w:numPr>
        <w:tabs>
          <w:tab w:val="clear" w:pos="1701"/>
          <w:tab w:val="left" w:pos="0"/>
        </w:tabs>
        <w:rPr>
          <w:b w:val="0"/>
          <w:lang w:val="en-US"/>
        </w:rPr>
      </w:pPr>
    </w:p>
    <w:p w14:paraId="76F848B5" w14:textId="7DFEDA8B" w:rsidR="00871B2A" w:rsidRDefault="00871B2A" w:rsidP="00ED5DD8">
      <w:pPr>
        <w:pStyle w:val="Observation"/>
        <w:numPr>
          <w:ilvl w:val="0"/>
          <w:numId w:val="0"/>
        </w:numPr>
        <w:tabs>
          <w:tab w:val="clear" w:pos="1701"/>
          <w:tab w:val="left" w:pos="0"/>
        </w:tabs>
        <w:rPr>
          <w:b w:val="0"/>
          <w:lang w:val="en-US"/>
        </w:rPr>
      </w:pPr>
      <w:r>
        <w:rPr>
          <w:b w:val="0"/>
          <w:lang w:val="en-US"/>
        </w:rPr>
        <w:t xml:space="preserve">The number of ports per beam was 8 in LTE and that value can be used as a starting </w:t>
      </w:r>
      <w:r w:rsidR="00951B81">
        <w:rPr>
          <w:b w:val="0"/>
          <w:lang w:val="en-US"/>
        </w:rPr>
        <w:t>point</w:t>
      </w:r>
      <w:r>
        <w:rPr>
          <w:b w:val="0"/>
          <w:lang w:val="en-US"/>
        </w:rPr>
        <w:t xml:space="preserve"> for the discussion. Note that in a unified framework, a scalable PMI codebook of up to e.g. 32 ports can be </w:t>
      </w:r>
      <w:r w:rsidR="00951B81">
        <w:rPr>
          <w:b w:val="0"/>
          <w:lang w:val="en-US"/>
        </w:rPr>
        <w:t>defined</w:t>
      </w:r>
      <w:r>
        <w:rPr>
          <w:b w:val="0"/>
          <w:lang w:val="en-US"/>
        </w:rPr>
        <w:t xml:space="preserve"> and the codebooks for up to 8 ports can be reused for the beamformed CSI-Rs mode of </w:t>
      </w:r>
      <w:r w:rsidR="00951B81">
        <w:rPr>
          <w:b w:val="0"/>
          <w:lang w:val="en-US"/>
        </w:rPr>
        <w:t>operation</w:t>
      </w:r>
      <w:r>
        <w:rPr>
          <w:b w:val="0"/>
          <w:lang w:val="en-US"/>
        </w:rPr>
        <w:t xml:space="preserve">. From the UE perspective, it </w:t>
      </w:r>
      <w:r w:rsidR="00951B81">
        <w:rPr>
          <w:b w:val="0"/>
          <w:lang w:val="en-US"/>
        </w:rPr>
        <w:t>must</w:t>
      </w:r>
      <w:r>
        <w:rPr>
          <w:b w:val="0"/>
          <w:lang w:val="en-US"/>
        </w:rPr>
        <w:t xml:space="preserve"> be configured a N port codebook for port combination and whether port selection of N out of NK ports should be performed prior to the port combination.</w:t>
      </w:r>
    </w:p>
    <w:p w14:paraId="4B17362C" w14:textId="77777777" w:rsidR="00C01F33" w:rsidRPr="00CE0424" w:rsidRDefault="00C01F33" w:rsidP="003A0E41">
      <w:pPr>
        <w:pStyle w:val="Heading1"/>
      </w:pPr>
      <w:r w:rsidRPr="00CE0424">
        <w:t>Conclusion</w:t>
      </w:r>
      <w:r w:rsidR="00AE2FEB">
        <w:t>s</w:t>
      </w:r>
    </w:p>
    <w:p w14:paraId="6664852B" w14:textId="77777777" w:rsidR="00951B81"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3955C0E0" w14:textId="77777777" w:rsidR="00951B81" w:rsidRPr="00951B81" w:rsidRDefault="00951B81">
      <w:pPr>
        <w:pStyle w:val="TOC1"/>
        <w:rPr>
          <w:rFonts w:asciiTheme="minorHAnsi" w:eastAsiaTheme="minorEastAsia" w:hAnsiTheme="minorHAnsi" w:cstheme="minorBidi"/>
          <w:b w:val="0"/>
          <w:sz w:val="22"/>
          <w:lang w:eastAsia="sv-SE"/>
        </w:rPr>
      </w:pPr>
      <w:r w:rsidRPr="00B66E39">
        <w:t>Proposal 1</w:t>
      </w:r>
      <w:r w:rsidRPr="00951B81">
        <w:rPr>
          <w:rFonts w:asciiTheme="minorHAnsi" w:eastAsiaTheme="minorEastAsia" w:hAnsiTheme="minorHAnsi" w:cstheme="minorBidi"/>
          <w:b w:val="0"/>
          <w:sz w:val="22"/>
          <w:lang w:eastAsia="sv-SE"/>
        </w:rPr>
        <w:tab/>
      </w:r>
      <w:r w:rsidRPr="00B66E39">
        <w:t>NR supports the following MIMO operation under Type I CSI feedback</w:t>
      </w:r>
    </w:p>
    <w:p w14:paraId="29D52DB0" w14:textId="77777777" w:rsidR="00951B81" w:rsidRPr="00951B81" w:rsidRDefault="00951B81" w:rsidP="00951B81">
      <w:pPr>
        <w:pStyle w:val="TOC1"/>
        <w:ind w:firstLine="0"/>
        <w:rPr>
          <w:rFonts w:asciiTheme="minorHAnsi" w:eastAsiaTheme="minorEastAsia" w:hAnsiTheme="minorHAnsi" w:cstheme="minorBidi"/>
          <w:b w:val="0"/>
          <w:sz w:val="22"/>
          <w:lang w:eastAsia="sv-SE"/>
        </w:rPr>
      </w:pPr>
      <w:r w:rsidRPr="00B66E39">
        <w:t>a.</w:t>
      </w:r>
      <w:r w:rsidRPr="00951B81">
        <w:rPr>
          <w:rFonts w:asciiTheme="minorHAnsi" w:eastAsiaTheme="minorEastAsia" w:hAnsiTheme="minorHAnsi" w:cstheme="minorBidi"/>
          <w:b w:val="0"/>
          <w:sz w:val="22"/>
          <w:lang w:eastAsia="sv-SE"/>
        </w:rPr>
        <w:tab/>
      </w:r>
      <w:r w:rsidRPr="00B66E39">
        <w:t>non precoded CSI-RS with the associated PMI codebooks for up to at least 32 ports</w:t>
      </w:r>
    </w:p>
    <w:p w14:paraId="72468A62" w14:textId="77777777" w:rsidR="00951B81" w:rsidRPr="00951B81" w:rsidRDefault="00951B81" w:rsidP="00951B81">
      <w:pPr>
        <w:pStyle w:val="TOC1"/>
        <w:ind w:firstLine="0"/>
        <w:rPr>
          <w:rFonts w:asciiTheme="minorHAnsi" w:eastAsiaTheme="minorEastAsia" w:hAnsiTheme="minorHAnsi" w:cstheme="minorBidi"/>
          <w:b w:val="0"/>
          <w:sz w:val="22"/>
          <w:lang w:eastAsia="sv-SE"/>
        </w:rPr>
      </w:pPr>
      <w:r w:rsidRPr="00B66E39">
        <w:t>b.</w:t>
      </w:r>
      <w:r w:rsidRPr="00951B81">
        <w:rPr>
          <w:rFonts w:asciiTheme="minorHAnsi" w:eastAsiaTheme="minorEastAsia" w:hAnsiTheme="minorHAnsi" w:cstheme="minorBidi"/>
          <w:b w:val="0"/>
          <w:sz w:val="22"/>
          <w:lang w:eastAsia="sv-SE"/>
        </w:rPr>
        <w:tab/>
      </w:r>
      <w:r w:rsidRPr="00B66E39">
        <w:t>beamformed CSI-RS  with the associated PMI codebooks for FFS ports per beam</w:t>
      </w:r>
    </w:p>
    <w:p w14:paraId="1737BC74" w14:textId="77777777" w:rsidR="00951B81" w:rsidRPr="00951B81" w:rsidRDefault="00951B81" w:rsidP="00951B81">
      <w:pPr>
        <w:pStyle w:val="TOC1"/>
        <w:ind w:firstLine="0"/>
        <w:rPr>
          <w:rFonts w:asciiTheme="minorHAnsi" w:eastAsiaTheme="minorEastAsia" w:hAnsiTheme="minorHAnsi" w:cstheme="minorBidi"/>
          <w:b w:val="0"/>
          <w:sz w:val="22"/>
          <w:lang w:eastAsia="sv-SE"/>
        </w:rPr>
      </w:pPr>
      <w:r w:rsidRPr="00B66E39">
        <w:t>c.</w:t>
      </w:r>
      <w:r w:rsidRPr="00951B81">
        <w:rPr>
          <w:rFonts w:asciiTheme="minorHAnsi" w:eastAsiaTheme="minorEastAsia" w:hAnsiTheme="minorHAnsi" w:cstheme="minorBidi"/>
          <w:b w:val="0"/>
          <w:sz w:val="22"/>
          <w:lang w:eastAsia="sv-SE"/>
        </w:rPr>
        <w:tab/>
      </w:r>
      <w:r w:rsidRPr="00B66E39">
        <w:t>reciprocity based CSI acquisition operation in NR</w:t>
      </w:r>
    </w:p>
    <w:p w14:paraId="538AA251" w14:textId="666A9E31" w:rsidR="00C01F33" w:rsidRDefault="00E5689D" w:rsidP="00E5689D">
      <w:pPr>
        <w:pStyle w:val="BodyText"/>
        <w:rPr>
          <w:b/>
          <w:bCs/>
        </w:rPr>
      </w:pPr>
      <w:r>
        <w:rPr>
          <w:b/>
          <w:bCs/>
        </w:rPr>
        <w:fldChar w:fldCharType="end"/>
      </w:r>
    </w:p>
    <w:p w14:paraId="0881E92D" w14:textId="77777777" w:rsidR="00F507D1" w:rsidRPr="00CE0424" w:rsidRDefault="00F507D1" w:rsidP="00CE0424">
      <w:pPr>
        <w:pStyle w:val="Heading1"/>
      </w:pPr>
      <w:bookmarkStart w:id="10" w:name="_In-sequence_SDU_delivery"/>
      <w:bookmarkStart w:id="11" w:name="_GoBack"/>
      <w:bookmarkEnd w:id="10"/>
      <w:bookmarkEnd w:id="11"/>
      <w:r w:rsidRPr="00CE0424">
        <w:t>References</w:t>
      </w:r>
    </w:p>
    <w:p w14:paraId="7ADB1E76" w14:textId="77777777" w:rsidR="003A7EF3" w:rsidRPr="00CE0424" w:rsidRDefault="00012B62" w:rsidP="00012B62">
      <w:pPr>
        <w:pStyle w:val="Reference"/>
      </w:pPr>
      <w:r>
        <w:rPr>
          <w:lang w:val="en-US"/>
        </w:rPr>
        <w:t>ECC Decision (11)06 (</w:t>
      </w:r>
      <w:r w:rsidRPr="00012B62">
        <w:rPr>
          <w:lang w:val="en-US"/>
        </w:rPr>
        <w:t>http://www.erodocdb.dk/docs/doc98/official/pdf/ECCDec1106.pdf</w:t>
      </w:r>
      <w:r>
        <w:rPr>
          <w:lang w:val="en-US"/>
        </w:rPr>
        <w:t>)</w:t>
      </w:r>
    </w:p>
    <w:sectPr w:rsidR="003A7EF3" w:rsidRPr="00CE0424"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54D35" w14:textId="77777777" w:rsidR="004C131A" w:rsidRDefault="004C131A">
      <w:r>
        <w:separator/>
      </w:r>
    </w:p>
  </w:endnote>
  <w:endnote w:type="continuationSeparator" w:id="0">
    <w:p w14:paraId="0E00815E" w14:textId="77777777" w:rsidR="004C131A" w:rsidRDefault="004C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5E9FD" w14:textId="77777777" w:rsidR="005D736A" w:rsidRDefault="005D7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31201" w14:textId="475F558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736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736A">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02153" w14:textId="77777777" w:rsidR="005D736A" w:rsidRDefault="005D73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FE591" w14:textId="77777777" w:rsidR="004C131A" w:rsidRDefault="004C131A">
      <w:r>
        <w:separator/>
      </w:r>
    </w:p>
  </w:footnote>
  <w:footnote w:type="continuationSeparator" w:id="0">
    <w:p w14:paraId="3ED03524" w14:textId="77777777" w:rsidR="004C131A" w:rsidRDefault="004C1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E5A7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C7E7" w14:textId="77777777" w:rsidR="005D736A" w:rsidRDefault="005D73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864A6" w14:textId="77777777" w:rsidR="005D736A" w:rsidRDefault="005D7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CB652D"/>
    <w:multiLevelType w:val="hybridMultilevel"/>
    <w:tmpl w:val="582862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2B22C1"/>
    <w:multiLevelType w:val="hybridMultilevel"/>
    <w:tmpl w:val="FFAC37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CE1D96"/>
    <w:multiLevelType w:val="hybridMultilevel"/>
    <w:tmpl w:val="9A1A454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9"/>
  </w:num>
  <w:num w:numId="15">
    <w:abstractNumId w:val="5"/>
  </w:num>
  <w:num w:numId="16">
    <w:abstractNumId w:val="16"/>
  </w:num>
  <w:num w:numId="1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2B62"/>
    <w:rsid w:val="00015D15"/>
    <w:rsid w:val="000215E0"/>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0EE8"/>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A75"/>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7CE1"/>
    <w:rsid w:val="00385BF0"/>
    <w:rsid w:val="00386486"/>
    <w:rsid w:val="0039234D"/>
    <w:rsid w:val="003939FF"/>
    <w:rsid w:val="003A0E41"/>
    <w:rsid w:val="003A2223"/>
    <w:rsid w:val="003A2A0F"/>
    <w:rsid w:val="003A45A1"/>
    <w:rsid w:val="003A5B0A"/>
    <w:rsid w:val="003A6BAC"/>
    <w:rsid w:val="003A7EF3"/>
    <w:rsid w:val="003B159C"/>
    <w:rsid w:val="003B2CE6"/>
    <w:rsid w:val="003B369F"/>
    <w:rsid w:val="003B36A3"/>
    <w:rsid w:val="003B7FE5"/>
    <w:rsid w:val="003C11C8"/>
    <w:rsid w:val="003C2702"/>
    <w:rsid w:val="003C7806"/>
    <w:rsid w:val="003D109F"/>
    <w:rsid w:val="003D2478"/>
    <w:rsid w:val="003D3C45"/>
    <w:rsid w:val="003D5B1F"/>
    <w:rsid w:val="003E15FA"/>
    <w:rsid w:val="003E55E4"/>
    <w:rsid w:val="003E7385"/>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0920"/>
    <w:rsid w:val="00437447"/>
    <w:rsid w:val="00441782"/>
    <w:rsid w:val="00441A92"/>
    <w:rsid w:val="00444F56"/>
    <w:rsid w:val="00446488"/>
    <w:rsid w:val="004517AA"/>
    <w:rsid w:val="00452CAC"/>
    <w:rsid w:val="00457565"/>
    <w:rsid w:val="00457B71"/>
    <w:rsid w:val="004669E2"/>
    <w:rsid w:val="00470C31"/>
    <w:rsid w:val="00470DF6"/>
    <w:rsid w:val="004734D0"/>
    <w:rsid w:val="0047556B"/>
    <w:rsid w:val="004772F2"/>
    <w:rsid w:val="00477768"/>
    <w:rsid w:val="00492BC5"/>
    <w:rsid w:val="004964F1"/>
    <w:rsid w:val="004A16BC"/>
    <w:rsid w:val="004A2B94"/>
    <w:rsid w:val="004B7C0C"/>
    <w:rsid w:val="004C131A"/>
    <w:rsid w:val="004C3898"/>
    <w:rsid w:val="004D36B1"/>
    <w:rsid w:val="004D7EBD"/>
    <w:rsid w:val="004E2680"/>
    <w:rsid w:val="004E28F9"/>
    <w:rsid w:val="004E462E"/>
    <w:rsid w:val="004E5305"/>
    <w:rsid w:val="004E56DC"/>
    <w:rsid w:val="004E76F4"/>
    <w:rsid w:val="004F0B4E"/>
    <w:rsid w:val="004F0B6C"/>
    <w:rsid w:val="004F2078"/>
    <w:rsid w:val="004F4DA3"/>
    <w:rsid w:val="00506557"/>
    <w:rsid w:val="0050677A"/>
    <w:rsid w:val="005108D8"/>
    <w:rsid w:val="005116F9"/>
    <w:rsid w:val="005153A7"/>
    <w:rsid w:val="00515DD7"/>
    <w:rsid w:val="005219CF"/>
    <w:rsid w:val="00534B59"/>
    <w:rsid w:val="00536759"/>
    <w:rsid w:val="00537C62"/>
    <w:rsid w:val="00546970"/>
    <w:rsid w:val="00554E19"/>
    <w:rsid w:val="00556509"/>
    <w:rsid w:val="0056121F"/>
    <w:rsid w:val="00572505"/>
    <w:rsid w:val="00575DA6"/>
    <w:rsid w:val="00582809"/>
    <w:rsid w:val="0058798C"/>
    <w:rsid w:val="005900FA"/>
    <w:rsid w:val="005935A4"/>
    <w:rsid w:val="005948C2"/>
    <w:rsid w:val="00595DCA"/>
    <w:rsid w:val="0059779B"/>
    <w:rsid w:val="005A209A"/>
    <w:rsid w:val="005A4B5E"/>
    <w:rsid w:val="005A662D"/>
    <w:rsid w:val="005B35D7"/>
    <w:rsid w:val="005B392A"/>
    <w:rsid w:val="005B3AA3"/>
    <w:rsid w:val="005B6F83"/>
    <w:rsid w:val="005C74FB"/>
    <w:rsid w:val="005D1602"/>
    <w:rsid w:val="005D736A"/>
    <w:rsid w:val="005E385F"/>
    <w:rsid w:val="005E5B81"/>
    <w:rsid w:val="005F2CB1"/>
    <w:rsid w:val="005F3025"/>
    <w:rsid w:val="005F5AA7"/>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37AC"/>
    <w:rsid w:val="00655733"/>
    <w:rsid w:val="00655AC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297F"/>
    <w:rsid w:val="006B50CF"/>
    <w:rsid w:val="006C03B8"/>
    <w:rsid w:val="006C5EC9"/>
    <w:rsid w:val="006C6059"/>
    <w:rsid w:val="006C7522"/>
    <w:rsid w:val="006D6F08"/>
    <w:rsid w:val="006E062C"/>
    <w:rsid w:val="006E1514"/>
    <w:rsid w:val="006E28B7"/>
    <w:rsid w:val="006E3310"/>
    <w:rsid w:val="006E470B"/>
    <w:rsid w:val="006E4E39"/>
    <w:rsid w:val="006E565E"/>
    <w:rsid w:val="006E673D"/>
    <w:rsid w:val="006E7D3B"/>
    <w:rsid w:val="006F1B70"/>
    <w:rsid w:val="006F341D"/>
    <w:rsid w:val="006F3CDE"/>
    <w:rsid w:val="006F58D4"/>
    <w:rsid w:val="007010DE"/>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4AD6"/>
    <w:rsid w:val="007F75D5"/>
    <w:rsid w:val="00803E3B"/>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B2A"/>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EDD"/>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1B81"/>
    <w:rsid w:val="00952A24"/>
    <w:rsid w:val="00953920"/>
    <w:rsid w:val="00953D47"/>
    <w:rsid w:val="0095681E"/>
    <w:rsid w:val="009572D4"/>
    <w:rsid w:val="00961921"/>
    <w:rsid w:val="00962036"/>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E57FD"/>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214F"/>
    <w:rsid w:val="00A45B74"/>
    <w:rsid w:val="00A52E1D"/>
    <w:rsid w:val="00A61499"/>
    <w:rsid w:val="00A62749"/>
    <w:rsid w:val="00A62A77"/>
    <w:rsid w:val="00A63483"/>
    <w:rsid w:val="00A657D7"/>
    <w:rsid w:val="00A660AC"/>
    <w:rsid w:val="00A67E6C"/>
    <w:rsid w:val="00A71B99"/>
    <w:rsid w:val="00A739D0"/>
    <w:rsid w:val="00A761D4"/>
    <w:rsid w:val="00A77EC4"/>
    <w:rsid w:val="00A85EF6"/>
    <w:rsid w:val="00A91C05"/>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AF4DA8"/>
    <w:rsid w:val="00B006FE"/>
    <w:rsid w:val="00B007CB"/>
    <w:rsid w:val="00B02AA9"/>
    <w:rsid w:val="00B02FA3"/>
    <w:rsid w:val="00B03374"/>
    <w:rsid w:val="00B05084"/>
    <w:rsid w:val="00B07936"/>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2B0E"/>
    <w:rsid w:val="00C54995"/>
    <w:rsid w:val="00C54D41"/>
    <w:rsid w:val="00C60783"/>
    <w:rsid w:val="00C6443F"/>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261"/>
    <w:rsid w:val="00CF1354"/>
    <w:rsid w:val="00CF3B1F"/>
    <w:rsid w:val="00CF3BF6"/>
    <w:rsid w:val="00CF625B"/>
    <w:rsid w:val="00CF687E"/>
    <w:rsid w:val="00D0349B"/>
    <w:rsid w:val="00D10249"/>
    <w:rsid w:val="00D115C3"/>
    <w:rsid w:val="00D11897"/>
    <w:rsid w:val="00D13135"/>
    <w:rsid w:val="00D13E4E"/>
    <w:rsid w:val="00D239A7"/>
    <w:rsid w:val="00D23F47"/>
    <w:rsid w:val="00D25943"/>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668B"/>
    <w:rsid w:val="00DB0A9F"/>
    <w:rsid w:val="00DB377D"/>
    <w:rsid w:val="00DC2D36"/>
    <w:rsid w:val="00DC53EF"/>
    <w:rsid w:val="00DE5608"/>
    <w:rsid w:val="00DE58D0"/>
    <w:rsid w:val="00DE654F"/>
    <w:rsid w:val="00DF0B6E"/>
    <w:rsid w:val="00DF15E0"/>
    <w:rsid w:val="00DF37A0"/>
    <w:rsid w:val="00E110E7"/>
    <w:rsid w:val="00E11B20"/>
    <w:rsid w:val="00E17FA2"/>
    <w:rsid w:val="00E21661"/>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D5DD8"/>
    <w:rsid w:val="00ED619A"/>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6BC8"/>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452"/>
    <w:rsid w:val="00FB6215"/>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A2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537A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6537A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537A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537AC"/>
    <w:pPr>
      <w:numPr>
        <w:ilvl w:val="2"/>
      </w:numPr>
      <w:spacing w:before="120"/>
      <w:outlineLvl w:val="2"/>
    </w:pPr>
    <w:rPr>
      <w:sz w:val="24"/>
      <w:szCs w:val="28"/>
    </w:rPr>
  </w:style>
  <w:style w:type="paragraph" w:styleId="Heading4">
    <w:name w:val="heading 4"/>
    <w:basedOn w:val="Heading3"/>
    <w:next w:val="Normal"/>
    <w:qFormat/>
    <w:rsid w:val="006537AC"/>
    <w:pPr>
      <w:numPr>
        <w:ilvl w:val="3"/>
      </w:numPr>
      <w:outlineLvl w:val="3"/>
    </w:pPr>
    <w:rPr>
      <w:szCs w:val="24"/>
    </w:rPr>
  </w:style>
  <w:style w:type="paragraph" w:styleId="Heading5">
    <w:name w:val="heading 5"/>
    <w:basedOn w:val="Heading4"/>
    <w:next w:val="Normal"/>
    <w:qFormat/>
    <w:rsid w:val="006537AC"/>
    <w:pPr>
      <w:numPr>
        <w:ilvl w:val="4"/>
      </w:numPr>
      <w:outlineLvl w:val="4"/>
    </w:pPr>
    <w:rPr>
      <w:sz w:val="22"/>
      <w:szCs w:val="22"/>
    </w:rPr>
  </w:style>
  <w:style w:type="paragraph" w:styleId="Heading6">
    <w:name w:val="heading 6"/>
    <w:basedOn w:val="Normal"/>
    <w:next w:val="Normal"/>
    <w:qFormat/>
    <w:rsid w:val="006537AC"/>
    <w:pPr>
      <w:keepNext/>
      <w:keepLines/>
      <w:numPr>
        <w:ilvl w:val="5"/>
        <w:numId w:val="1"/>
      </w:numPr>
      <w:spacing w:before="120"/>
      <w:outlineLvl w:val="5"/>
    </w:pPr>
    <w:rPr>
      <w:rFonts w:cs="Arial"/>
    </w:rPr>
  </w:style>
  <w:style w:type="paragraph" w:styleId="Heading7">
    <w:name w:val="heading 7"/>
    <w:basedOn w:val="Normal"/>
    <w:next w:val="Normal"/>
    <w:qFormat/>
    <w:rsid w:val="006537AC"/>
    <w:pPr>
      <w:keepNext/>
      <w:keepLines/>
      <w:numPr>
        <w:ilvl w:val="6"/>
        <w:numId w:val="1"/>
      </w:numPr>
      <w:spacing w:before="120"/>
      <w:outlineLvl w:val="6"/>
    </w:pPr>
    <w:rPr>
      <w:rFonts w:cs="Arial"/>
    </w:rPr>
  </w:style>
  <w:style w:type="paragraph" w:styleId="Heading8">
    <w:name w:val="heading 8"/>
    <w:basedOn w:val="Heading7"/>
    <w:next w:val="Normal"/>
    <w:qFormat/>
    <w:rsid w:val="006537AC"/>
    <w:pPr>
      <w:numPr>
        <w:ilvl w:val="7"/>
      </w:numPr>
      <w:outlineLvl w:val="7"/>
    </w:pPr>
  </w:style>
  <w:style w:type="paragraph" w:styleId="Heading9">
    <w:name w:val="heading 9"/>
    <w:basedOn w:val="Heading8"/>
    <w:next w:val="Normal"/>
    <w:qFormat/>
    <w:rsid w:val="006537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37AC"/>
    <w:pPr>
      <w:spacing w:before="180"/>
      <w:ind w:left="2693" w:hanging="2693"/>
    </w:pPr>
    <w:rPr>
      <w:b w:val="0"/>
      <w:bCs/>
    </w:rPr>
  </w:style>
  <w:style w:type="paragraph" w:styleId="TOC1">
    <w:name w:val="toc 1"/>
    <w:aliases w:val="Observation TOC2"/>
    <w:uiPriority w:val="39"/>
    <w:rsid w:val="006537A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537AC"/>
    <w:pPr>
      <w:keepNext/>
      <w:keepLines/>
      <w:spacing w:before="180"/>
      <w:jc w:val="center"/>
    </w:pPr>
  </w:style>
  <w:style w:type="paragraph" w:styleId="Caption">
    <w:name w:val="caption"/>
    <w:basedOn w:val="Normal"/>
    <w:next w:val="Normal"/>
    <w:qFormat/>
    <w:rsid w:val="006537AC"/>
    <w:pPr>
      <w:spacing w:after="240"/>
      <w:jc w:val="center"/>
    </w:pPr>
    <w:rPr>
      <w:b/>
      <w:bCs/>
    </w:rPr>
  </w:style>
  <w:style w:type="paragraph" w:styleId="TOC5">
    <w:name w:val="toc 5"/>
    <w:aliases w:val="Observation TOC"/>
    <w:basedOn w:val="TOC4"/>
    <w:semiHidden/>
    <w:rsid w:val="006537AC"/>
    <w:pPr>
      <w:tabs>
        <w:tab w:val="right" w:pos="1701"/>
      </w:tabs>
      <w:ind w:left="1701" w:hanging="1701"/>
    </w:pPr>
  </w:style>
  <w:style w:type="paragraph" w:styleId="TOC4">
    <w:name w:val="toc 4"/>
    <w:basedOn w:val="TOC3"/>
    <w:semiHidden/>
    <w:rsid w:val="006537AC"/>
    <w:pPr>
      <w:ind w:left="1418" w:hanging="1418"/>
    </w:pPr>
  </w:style>
  <w:style w:type="paragraph" w:styleId="TOC3">
    <w:name w:val="toc 3"/>
    <w:basedOn w:val="TOC2"/>
    <w:semiHidden/>
    <w:rsid w:val="006537AC"/>
    <w:pPr>
      <w:ind w:left="1134" w:hanging="1134"/>
    </w:pPr>
  </w:style>
  <w:style w:type="paragraph" w:styleId="TOC2">
    <w:name w:val="toc 2"/>
    <w:basedOn w:val="TOC1"/>
    <w:semiHidden/>
    <w:rsid w:val="006537AC"/>
    <w:pPr>
      <w:keepNext w:val="0"/>
      <w:spacing w:before="0"/>
      <w:ind w:left="851" w:hanging="851"/>
    </w:pPr>
    <w:rPr>
      <w:szCs w:val="20"/>
    </w:rPr>
  </w:style>
  <w:style w:type="paragraph" w:styleId="Index2">
    <w:name w:val="index 2"/>
    <w:basedOn w:val="Index1"/>
    <w:semiHidden/>
    <w:rsid w:val="006537AC"/>
    <w:pPr>
      <w:ind w:left="284"/>
    </w:pPr>
  </w:style>
  <w:style w:type="paragraph" w:styleId="Index1">
    <w:name w:val="index 1"/>
    <w:basedOn w:val="Normal"/>
    <w:semiHidden/>
    <w:rsid w:val="006537AC"/>
    <w:pPr>
      <w:keepLines/>
      <w:spacing w:after="0"/>
    </w:pPr>
  </w:style>
  <w:style w:type="paragraph" w:styleId="DocumentMap">
    <w:name w:val="Document Map"/>
    <w:basedOn w:val="Normal"/>
    <w:semiHidden/>
    <w:rsid w:val="006537AC"/>
    <w:pPr>
      <w:shd w:val="clear" w:color="auto" w:fill="000080"/>
    </w:pPr>
    <w:rPr>
      <w:rFonts w:ascii="Tahoma" w:hAnsi="Tahoma" w:cs="Tahoma"/>
    </w:rPr>
  </w:style>
  <w:style w:type="paragraph" w:styleId="ListNumber2">
    <w:name w:val="List Number 2"/>
    <w:basedOn w:val="ListNumber"/>
    <w:rsid w:val="006537AC"/>
    <w:pPr>
      <w:ind w:left="851"/>
    </w:pPr>
  </w:style>
  <w:style w:type="paragraph" w:styleId="ListNumber">
    <w:name w:val="List Number"/>
    <w:basedOn w:val="List"/>
    <w:rsid w:val="006537AC"/>
  </w:style>
  <w:style w:type="paragraph" w:styleId="List">
    <w:name w:val="List"/>
    <w:basedOn w:val="Normal"/>
    <w:rsid w:val="006537AC"/>
    <w:pPr>
      <w:ind w:left="568" w:hanging="284"/>
    </w:pPr>
  </w:style>
  <w:style w:type="paragraph" w:styleId="Header">
    <w:name w:val="header"/>
    <w:rsid w:val="006537A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537AC"/>
    <w:rPr>
      <w:b/>
      <w:bCs/>
      <w:position w:val="6"/>
      <w:sz w:val="16"/>
      <w:szCs w:val="16"/>
    </w:rPr>
  </w:style>
  <w:style w:type="paragraph" w:styleId="FootnoteText">
    <w:name w:val="footnote text"/>
    <w:basedOn w:val="Normal"/>
    <w:semiHidden/>
    <w:rsid w:val="006537AC"/>
    <w:pPr>
      <w:keepLines/>
      <w:spacing w:after="0"/>
      <w:ind w:left="454" w:hanging="454"/>
    </w:pPr>
    <w:rPr>
      <w:sz w:val="16"/>
      <w:szCs w:val="16"/>
    </w:rPr>
  </w:style>
  <w:style w:type="paragraph" w:customStyle="1" w:styleId="3GPPHeader">
    <w:name w:val="3GPP_Header"/>
    <w:basedOn w:val="Normal"/>
    <w:qFormat/>
    <w:rsid w:val="006537AC"/>
    <w:pPr>
      <w:tabs>
        <w:tab w:val="left" w:pos="1800"/>
        <w:tab w:val="right" w:pos="9360"/>
      </w:tabs>
      <w:spacing w:after="0"/>
    </w:pPr>
    <w:rPr>
      <w:rFonts w:ascii="Arial" w:hAnsi="Arial"/>
      <w:b/>
    </w:rPr>
  </w:style>
  <w:style w:type="paragraph" w:styleId="TOC9">
    <w:name w:val="toc 9"/>
    <w:basedOn w:val="TOC8"/>
    <w:semiHidden/>
    <w:rsid w:val="006537AC"/>
    <w:pPr>
      <w:ind w:left="1418" w:hanging="1418"/>
    </w:pPr>
  </w:style>
  <w:style w:type="paragraph" w:styleId="TOC6">
    <w:name w:val="toc 6"/>
    <w:basedOn w:val="TOC5"/>
    <w:next w:val="Normal"/>
    <w:semiHidden/>
    <w:rsid w:val="006537AC"/>
    <w:pPr>
      <w:ind w:left="1985" w:hanging="1985"/>
    </w:pPr>
  </w:style>
  <w:style w:type="paragraph" w:styleId="TOC7">
    <w:name w:val="toc 7"/>
    <w:basedOn w:val="TOC6"/>
    <w:next w:val="Normal"/>
    <w:semiHidden/>
    <w:rsid w:val="006537AC"/>
    <w:pPr>
      <w:ind w:left="2268" w:hanging="2268"/>
    </w:pPr>
  </w:style>
  <w:style w:type="paragraph" w:styleId="ListBullet2">
    <w:name w:val="List Bullet 2"/>
    <w:basedOn w:val="ListBullet"/>
    <w:rsid w:val="006537AC"/>
    <w:pPr>
      <w:numPr>
        <w:numId w:val="6"/>
      </w:numPr>
    </w:pPr>
  </w:style>
  <w:style w:type="paragraph" w:styleId="ListBullet">
    <w:name w:val="List Bullet"/>
    <w:basedOn w:val="BodyText"/>
    <w:rsid w:val="006537AC"/>
    <w:pPr>
      <w:numPr>
        <w:numId w:val="5"/>
      </w:numPr>
    </w:pPr>
  </w:style>
  <w:style w:type="paragraph" w:styleId="ListBullet3">
    <w:name w:val="List Bullet 3"/>
    <w:basedOn w:val="ListBullet2"/>
    <w:rsid w:val="006537AC"/>
    <w:pPr>
      <w:numPr>
        <w:numId w:val="7"/>
      </w:numPr>
    </w:pPr>
  </w:style>
  <w:style w:type="paragraph" w:customStyle="1" w:styleId="EQ">
    <w:name w:val="EQ"/>
    <w:basedOn w:val="Normal"/>
    <w:next w:val="Normal"/>
    <w:rsid w:val="006537AC"/>
    <w:pPr>
      <w:keepLines/>
      <w:tabs>
        <w:tab w:val="center" w:pos="4536"/>
        <w:tab w:val="right" w:pos="9072"/>
      </w:tabs>
      <w:spacing w:after="180"/>
      <w:jc w:val="left"/>
    </w:pPr>
    <w:rPr>
      <w:noProof/>
      <w:lang w:eastAsia="en-US"/>
    </w:rPr>
  </w:style>
  <w:style w:type="paragraph" w:styleId="List2">
    <w:name w:val="List 2"/>
    <w:basedOn w:val="List"/>
    <w:rsid w:val="006537AC"/>
    <w:pPr>
      <w:ind w:left="851"/>
    </w:pPr>
  </w:style>
  <w:style w:type="paragraph" w:styleId="List3">
    <w:name w:val="List 3"/>
    <w:basedOn w:val="List2"/>
    <w:rsid w:val="006537AC"/>
    <w:pPr>
      <w:ind w:left="1135"/>
    </w:pPr>
  </w:style>
  <w:style w:type="paragraph" w:styleId="List4">
    <w:name w:val="List 4"/>
    <w:basedOn w:val="List3"/>
    <w:rsid w:val="006537AC"/>
    <w:pPr>
      <w:ind w:left="1418"/>
    </w:pPr>
  </w:style>
  <w:style w:type="paragraph" w:styleId="List5">
    <w:name w:val="List 5"/>
    <w:basedOn w:val="List4"/>
    <w:rsid w:val="006537AC"/>
    <w:pPr>
      <w:ind w:left="1702"/>
    </w:pPr>
  </w:style>
  <w:style w:type="paragraph" w:customStyle="1" w:styleId="EditorsNote">
    <w:name w:val="Editor's Note"/>
    <w:basedOn w:val="Normal"/>
    <w:rsid w:val="006537AC"/>
    <w:pPr>
      <w:keepLines/>
      <w:spacing w:after="180"/>
      <w:ind w:left="1135" w:hanging="851"/>
      <w:jc w:val="left"/>
    </w:pPr>
    <w:rPr>
      <w:color w:val="FF0000"/>
      <w:lang w:eastAsia="en-US"/>
    </w:rPr>
  </w:style>
  <w:style w:type="paragraph" w:styleId="ListBullet4">
    <w:name w:val="List Bullet 4"/>
    <w:basedOn w:val="ListBullet3"/>
    <w:rsid w:val="006537AC"/>
    <w:pPr>
      <w:numPr>
        <w:numId w:val="8"/>
      </w:numPr>
    </w:pPr>
  </w:style>
  <w:style w:type="paragraph" w:styleId="ListBullet5">
    <w:name w:val="List Bullet 5"/>
    <w:basedOn w:val="ListBullet4"/>
    <w:rsid w:val="006537AC"/>
    <w:pPr>
      <w:numPr>
        <w:numId w:val="4"/>
      </w:numPr>
    </w:pPr>
  </w:style>
  <w:style w:type="paragraph" w:styleId="Footer">
    <w:name w:val="footer"/>
    <w:basedOn w:val="Header"/>
    <w:semiHidden/>
    <w:rsid w:val="006537AC"/>
    <w:pPr>
      <w:jc w:val="center"/>
    </w:pPr>
    <w:rPr>
      <w:i/>
      <w:iCs/>
    </w:rPr>
  </w:style>
  <w:style w:type="paragraph" w:customStyle="1" w:styleId="Reference">
    <w:name w:val="Reference"/>
    <w:basedOn w:val="Normal"/>
    <w:qFormat/>
    <w:rsid w:val="006537AC"/>
    <w:pPr>
      <w:numPr>
        <w:numId w:val="2"/>
      </w:numPr>
    </w:pPr>
  </w:style>
  <w:style w:type="paragraph" w:styleId="BalloonText">
    <w:name w:val="Balloon Text"/>
    <w:basedOn w:val="Normal"/>
    <w:semiHidden/>
    <w:rsid w:val="006537AC"/>
    <w:rPr>
      <w:rFonts w:ascii="Tahoma" w:hAnsi="Tahoma" w:cs="Tahoma"/>
      <w:sz w:val="16"/>
      <w:szCs w:val="16"/>
    </w:rPr>
  </w:style>
  <w:style w:type="character" w:styleId="PageNumber">
    <w:name w:val="page number"/>
    <w:basedOn w:val="DefaultParagraphFont"/>
    <w:semiHidden/>
    <w:rsid w:val="006537AC"/>
  </w:style>
  <w:style w:type="paragraph" w:styleId="BodyText">
    <w:name w:val="Body Text"/>
    <w:basedOn w:val="Normal"/>
    <w:link w:val="BodyTextChar"/>
    <w:qFormat/>
    <w:rsid w:val="006537AC"/>
  </w:style>
  <w:style w:type="character" w:styleId="Hyperlink">
    <w:name w:val="Hyperlink"/>
    <w:uiPriority w:val="99"/>
    <w:rsid w:val="006537AC"/>
    <w:rPr>
      <w:color w:val="0000FF"/>
      <w:u w:val="single"/>
      <w:lang w:val="en-GB"/>
    </w:rPr>
  </w:style>
  <w:style w:type="character" w:styleId="FollowedHyperlink">
    <w:name w:val="FollowedHyperlink"/>
    <w:semiHidden/>
    <w:rsid w:val="006537AC"/>
    <w:rPr>
      <w:color w:val="FF0000"/>
      <w:u w:val="single"/>
    </w:rPr>
  </w:style>
  <w:style w:type="character" w:styleId="CommentReference">
    <w:name w:val="annotation reference"/>
    <w:semiHidden/>
    <w:rsid w:val="006537AC"/>
    <w:rPr>
      <w:sz w:val="16"/>
      <w:szCs w:val="16"/>
    </w:rPr>
  </w:style>
  <w:style w:type="paragraph" w:styleId="CommentText">
    <w:name w:val="annotation text"/>
    <w:basedOn w:val="Normal"/>
    <w:semiHidden/>
    <w:rsid w:val="006537AC"/>
  </w:style>
  <w:style w:type="paragraph" w:styleId="CommentSubject">
    <w:name w:val="annotation subject"/>
    <w:basedOn w:val="CommentText"/>
    <w:next w:val="CommentText"/>
    <w:semiHidden/>
    <w:rsid w:val="006537AC"/>
    <w:rPr>
      <w:b/>
      <w:bCs/>
    </w:rPr>
  </w:style>
  <w:style w:type="character" w:customStyle="1" w:styleId="Heading1Char">
    <w:name w:val="Heading 1 Char"/>
    <w:link w:val="Heading1"/>
    <w:rsid w:val="006537AC"/>
    <w:rPr>
      <w:rFonts w:ascii="Arial" w:hAnsi="Arial" w:cs="Arial"/>
      <w:sz w:val="32"/>
      <w:szCs w:val="36"/>
      <w:lang w:val="en-GB" w:eastAsia="zh-CN"/>
    </w:rPr>
  </w:style>
  <w:style w:type="paragraph" w:customStyle="1" w:styleId="B1">
    <w:name w:val="B1"/>
    <w:basedOn w:val="List"/>
    <w:rsid w:val="006537AC"/>
    <w:pPr>
      <w:spacing w:after="180"/>
      <w:jc w:val="left"/>
    </w:pPr>
    <w:rPr>
      <w:lang w:eastAsia="en-US"/>
    </w:rPr>
  </w:style>
  <w:style w:type="paragraph" w:customStyle="1" w:styleId="B2">
    <w:name w:val="B2"/>
    <w:basedOn w:val="List2"/>
    <w:rsid w:val="006537AC"/>
    <w:pPr>
      <w:spacing w:after="180"/>
      <w:jc w:val="left"/>
    </w:pPr>
    <w:rPr>
      <w:lang w:eastAsia="en-US"/>
    </w:rPr>
  </w:style>
  <w:style w:type="paragraph" w:customStyle="1" w:styleId="B3">
    <w:name w:val="B3"/>
    <w:basedOn w:val="List3"/>
    <w:rsid w:val="006537AC"/>
    <w:pPr>
      <w:spacing w:after="180"/>
      <w:jc w:val="left"/>
    </w:pPr>
    <w:rPr>
      <w:lang w:eastAsia="en-US"/>
    </w:rPr>
  </w:style>
  <w:style w:type="paragraph" w:customStyle="1" w:styleId="B4">
    <w:name w:val="B4"/>
    <w:basedOn w:val="List4"/>
    <w:rsid w:val="006537AC"/>
    <w:pPr>
      <w:spacing w:after="180"/>
      <w:jc w:val="left"/>
    </w:pPr>
    <w:rPr>
      <w:lang w:eastAsia="en-US"/>
    </w:rPr>
  </w:style>
  <w:style w:type="paragraph" w:customStyle="1" w:styleId="Proposal">
    <w:name w:val="Proposal"/>
    <w:basedOn w:val="Normal"/>
    <w:qFormat/>
    <w:rsid w:val="006537AC"/>
    <w:pPr>
      <w:numPr>
        <w:numId w:val="3"/>
      </w:numPr>
      <w:tabs>
        <w:tab w:val="clear" w:pos="1304"/>
        <w:tab w:val="left" w:pos="1701"/>
      </w:tabs>
      <w:ind w:left="1701" w:hanging="1701"/>
    </w:pPr>
    <w:rPr>
      <w:b/>
      <w:bCs/>
    </w:rPr>
  </w:style>
  <w:style w:type="character" w:customStyle="1" w:styleId="BodyTextChar">
    <w:name w:val="Body Text Char"/>
    <w:link w:val="BodyText"/>
    <w:rsid w:val="006537AC"/>
    <w:rPr>
      <w:rFonts w:ascii="Times New Roman" w:hAnsi="Times New Roman"/>
      <w:lang w:val="en-GB" w:eastAsia="zh-CN"/>
    </w:rPr>
  </w:style>
  <w:style w:type="paragraph" w:customStyle="1" w:styleId="B5">
    <w:name w:val="B5"/>
    <w:basedOn w:val="List5"/>
    <w:rsid w:val="006537AC"/>
    <w:pPr>
      <w:spacing w:after="180"/>
      <w:jc w:val="left"/>
    </w:pPr>
    <w:rPr>
      <w:lang w:eastAsia="en-US"/>
    </w:rPr>
  </w:style>
  <w:style w:type="paragraph" w:customStyle="1" w:styleId="EX">
    <w:name w:val="EX"/>
    <w:basedOn w:val="Normal"/>
    <w:rsid w:val="006537AC"/>
    <w:pPr>
      <w:keepLines/>
      <w:spacing w:after="180"/>
      <w:ind w:left="1702" w:hanging="1418"/>
      <w:jc w:val="left"/>
    </w:pPr>
    <w:rPr>
      <w:lang w:eastAsia="en-US"/>
    </w:rPr>
  </w:style>
  <w:style w:type="paragraph" w:customStyle="1" w:styleId="EW">
    <w:name w:val="EW"/>
    <w:basedOn w:val="EX"/>
    <w:rsid w:val="006537AC"/>
    <w:pPr>
      <w:spacing w:after="0"/>
    </w:pPr>
  </w:style>
  <w:style w:type="paragraph" w:customStyle="1" w:styleId="TAL">
    <w:name w:val="TAL"/>
    <w:basedOn w:val="Normal"/>
    <w:rsid w:val="006537AC"/>
    <w:pPr>
      <w:keepNext/>
      <w:keepLines/>
      <w:spacing w:after="0"/>
      <w:jc w:val="left"/>
    </w:pPr>
    <w:rPr>
      <w:sz w:val="18"/>
      <w:lang w:eastAsia="en-US"/>
    </w:rPr>
  </w:style>
  <w:style w:type="paragraph" w:customStyle="1" w:styleId="TAC">
    <w:name w:val="TAC"/>
    <w:basedOn w:val="TAL"/>
    <w:rsid w:val="006537AC"/>
    <w:pPr>
      <w:jc w:val="center"/>
    </w:pPr>
  </w:style>
  <w:style w:type="paragraph" w:customStyle="1" w:styleId="TAH">
    <w:name w:val="TAH"/>
    <w:basedOn w:val="TAC"/>
    <w:rsid w:val="006537AC"/>
    <w:rPr>
      <w:b/>
    </w:rPr>
  </w:style>
  <w:style w:type="paragraph" w:customStyle="1" w:styleId="TAN">
    <w:name w:val="TAN"/>
    <w:basedOn w:val="TAL"/>
    <w:rsid w:val="006537AC"/>
    <w:pPr>
      <w:ind w:left="851" w:hanging="851"/>
    </w:pPr>
  </w:style>
  <w:style w:type="paragraph" w:customStyle="1" w:styleId="TAR">
    <w:name w:val="TAR"/>
    <w:basedOn w:val="TAL"/>
    <w:rsid w:val="006537AC"/>
    <w:pPr>
      <w:jc w:val="right"/>
    </w:pPr>
  </w:style>
  <w:style w:type="paragraph" w:customStyle="1" w:styleId="TH">
    <w:name w:val="TH"/>
    <w:basedOn w:val="Normal"/>
    <w:rsid w:val="006537AC"/>
    <w:pPr>
      <w:keepNext/>
      <w:keepLines/>
      <w:spacing w:before="60" w:after="180"/>
      <w:jc w:val="center"/>
    </w:pPr>
    <w:rPr>
      <w:b/>
      <w:lang w:eastAsia="en-US"/>
    </w:rPr>
  </w:style>
  <w:style w:type="paragraph" w:customStyle="1" w:styleId="TF">
    <w:name w:val="TF"/>
    <w:basedOn w:val="TH"/>
    <w:rsid w:val="006537AC"/>
    <w:pPr>
      <w:keepNext w:val="0"/>
      <w:spacing w:before="0" w:after="240"/>
    </w:pPr>
  </w:style>
  <w:style w:type="paragraph" w:customStyle="1" w:styleId="TT">
    <w:name w:val="TT"/>
    <w:basedOn w:val="Heading1"/>
    <w:next w:val="Normal"/>
    <w:rsid w:val="006537AC"/>
    <w:pPr>
      <w:numPr>
        <w:numId w:val="0"/>
      </w:numPr>
      <w:ind w:left="1134" w:hanging="1134"/>
      <w:outlineLvl w:val="9"/>
    </w:pPr>
    <w:rPr>
      <w:rFonts w:cs="Times New Roman"/>
      <w:szCs w:val="20"/>
      <w:lang w:eastAsia="en-US"/>
    </w:rPr>
  </w:style>
  <w:style w:type="paragraph" w:customStyle="1" w:styleId="ZA">
    <w:name w:val="ZA"/>
    <w:rsid w:val="006537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37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537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537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537AC"/>
  </w:style>
  <w:style w:type="paragraph" w:customStyle="1" w:styleId="ZH">
    <w:name w:val="ZH"/>
    <w:rsid w:val="006537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537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537AC"/>
    <w:pPr>
      <w:framePr w:hRule="auto" w:wrap="notBeside" w:y="852"/>
    </w:pPr>
    <w:rPr>
      <w:i w:val="0"/>
      <w:sz w:val="40"/>
    </w:rPr>
  </w:style>
  <w:style w:type="paragraph" w:customStyle="1" w:styleId="ZU">
    <w:name w:val="ZU"/>
    <w:rsid w:val="006537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537AC"/>
    <w:pPr>
      <w:framePr w:wrap="notBeside" w:y="16161"/>
    </w:pPr>
  </w:style>
  <w:style w:type="paragraph" w:customStyle="1" w:styleId="FP">
    <w:name w:val="FP"/>
    <w:basedOn w:val="Normal"/>
    <w:rsid w:val="006537AC"/>
    <w:pPr>
      <w:spacing w:after="0"/>
      <w:jc w:val="left"/>
    </w:pPr>
    <w:rPr>
      <w:lang w:eastAsia="en-US"/>
    </w:rPr>
  </w:style>
  <w:style w:type="paragraph" w:customStyle="1" w:styleId="Observation">
    <w:name w:val="Observation"/>
    <w:basedOn w:val="Proposal"/>
    <w:qFormat/>
    <w:rsid w:val="006537AC"/>
    <w:pPr>
      <w:numPr>
        <w:numId w:val="13"/>
      </w:numPr>
      <w:ind w:left="1701" w:hanging="1701"/>
    </w:pPr>
  </w:style>
  <w:style w:type="paragraph" w:styleId="TableofFigures">
    <w:name w:val="table of figures"/>
    <w:basedOn w:val="Normal"/>
    <w:next w:val="Normal"/>
    <w:uiPriority w:val="99"/>
    <w:rsid w:val="006537AC"/>
    <w:pPr>
      <w:ind w:left="1418" w:hanging="1418"/>
      <w:jc w:val="left"/>
    </w:pPr>
    <w:rPr>
      <w:b/>
    </w:rPr>
  </w:style>
  <w:style w:type="paragraph" w:styleId="Index4">
    <w:name w:val="index 4"/>
    <w:basedOn w:val="Normal"/>
    <w:next w:val="Normal"/>
    <w:autoRedefine/>
    <w:rsid w:val="006537A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Revision">
    <w:name w:val="Revision"/>
    <w:hidden/>
    <w:uiPriority w:val="99"/>
    <w:semiHidden/>
    <w:rsid w:val="00430920"/>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063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D2052-CF22-4AD4-8A61-2D9974E1D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815</Words>
  <Characters>4324</Characters>
  <Application>Microsoft Office Word</Application>
  <DocSecurity>0</DocSecurity>
  <Lines>36</Lines>
  <Paragraphs>10</Paragraphs>
  <ScaleCrop>false</ScaleCrop>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2016-11-04T07:58:00Z</dcterms:created>
  <dcterms:modified xsi:type="dcterms:W3CDTF">2016-11-04T07:59:00Z</dcterms:modified>
</cp:coreProperties>
</file>